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9D" w:rsidRDefault="004E2CD6" w:rsidP="00840A9D">
      <w:pPr>
        <w:jc w:val="center"/>
        <w:rPr>
          <w:b/>
          <w:color w:val="C00000"/>
          <w:sz w:val="36"/>
          <w:szCs w:val="36"/>
        </w:rPr>
      </w:pPr>
      <w:r w:rsidRPr="004E2CD6">
        <w:rPr>
          <w:b/>
          <w:color w:val="C00000"/>
          <w:sz w:val="36"/>
          <w:szCs w:val="36"/>
        </w:rPr>
        <w:t>FORMATION AUX CONSTELLATIONS FAMILIALES ET SYSTEMIQUES DANS LE SUIVI INDIVIDUEL</w:t>
      </w:r>
    </w:p>
    <w:p w:rsidR="00840A9D" w:rsidRDefault="00840A9D" w:rsidP="00840A9D">
      <w:pPr>
        <w:tabs>
          <w:tab w:val="left" w:pos="-284"/>
          <w:tab w:val="left" w:pos="142"/>
        </w:tabs>
        <w:spacing w:after="0"/>
        <w:jc w:val="center"/>
        <w:rPr>
          <w:b/>
          <w:color w:val="C00000"/>
          <w:sz w:val="16"/>
          <w:szCs w:val="16"/>
        </w:rPr>
      </w:pPr>
    </w:p>
    <w:p w:rsidR="00840A9D" w:rsidRPr="00840A9D" w:rsidRDefault="00840A9D" w:rsidP="00840A9D">
      <w:pPr>
        <w:tabs>
          <w:tab w:val="left" w:pos="-284"/>
          <w:tab w:val="left" w:pos="142"/>
        </w:tabs>
        <w:spacing w:after="0"/>
        <w:jc w:val="center"/>
        <w:rPr>
          <w:b/>
          <w:color w:val="043CDA"/>
          <w:sz w:val="32"/>
          <w:szCs w:val="32"/>
        </w:rPr>
      </w:pPr>
      <w:r w:rsidRPr="00840A9D">
        <w:rPr>
          <w:b/>
          <w:color w:val="043CDA"/>
          <w:sz w:val="32"/>
          <w:szCs w:val="32"/>
        </w:rPr>
        <w:t>Thèmes abordés au cours de la formation</w:t>
      </w:r>
    </w:p>
    <w:p w:rsidR="00840A9D" w:rsidRDefault="00840A9D" w:rsidP="00840A9D">
      <w:pPr>
        <w:tabs>
          <w:tab w:val="left" w:pos="-284"/>
          <w:tab w:val="left" w:pos="142"/>
        </w:tabs>
        <w:spacing w:after="0"/>
        <w:rPr>
          <w:color w:val="043CDA"/>
        </w:rPr>
      </w:pP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constellations familiales et systémiques : origine et évolution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notion de champ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dynamique d’une constellation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ancêtres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 xml:space="preserve">L’histoire familiale </w:t>
      </w:r>
      <w:proofErr w:type="spellStart"/>
      <w:r w:rsidRPr="00840A9D">
        <w:rPr>
          <w:color w:val="043CDA"/>
          <w:sz w:val="24"/>
          <w:szCs w:val="24"/>
        </w:rPr>
        <w:t>transgénérationnelle</w:t>
      </w:r>
      <w:proofErr w:type="spellEnd"/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lignées maternelles et paternelles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transmissions familiales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force du clan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 xml:space="preserve">Le </w:t>
      </w:r>
      <w:proofErr w:type="spellStart"/>
      <w:r w:rsidRPr="00840A9D">
        <w:rPr>
          <w:color w:val="043CDA"/>
          <w:sz w:val="24"/>
          <w:szCs w:val="24"/>
        </w:rPr>
        <w:t>génogramme</w:t>
      </w:r>
      <w:proofErr w:type="spellEnd"/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naissance, le mouvement vers la vie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triade : père, mère, enfant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famille d’origine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fratrie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L’appartenance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place dans la famille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L’ordre dans la famille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L’équilibre entre recevoir et donner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loyautés familiales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deuils, les traumas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symptômes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intrications familiales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dynamiques projectives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dynamiques régressives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 xml:space="preserve">La place du </w:t>
      </w:r>
      <w:proofErr w:type="spellStart"/>
      <w:r w:rsidRPr="00840A9D">
        <w:rPr>
          <w:color w:val="043CDA"/>
          <w:sz w:val="24"/>
          <w:szCs w:val="24"/>
        </w:rPr>
        <w:t>constellateur</w:t>
      </w:r>
      <w:proofErr w:type="spellEnd"/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L’éthique de travail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La clarification de la demande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L’importance de l’observation, de la perception et du ressenti</w:t>
      </w:r>
    </w:p>
    <w:p w:rsidR="00840A9D" w:rsidRP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types de constellations : ouverte/fermée</w:t>
      </w:r>
    </w:p>
    <w:p w:rsid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 w:rsidRPr="00840A9D">
        <w:rPr>
          <w:color w:val="043CDA"/>
          <w:sz w:val="24"/>
          <w:szCs w:val="24"/>
        </w:rPr>
        <w:t>Les techniques de constellations</w:t>
      </w:r>
    </w:p>
    <w:p w:rsidR="00840A9D" w:rsidRDefault="00840A9D" w:rsidP="00840A9D">
      <w:pPr>
        <w:pStyle w:val="ListParagraph"/>
        <w:numPr>
          <w:ilvl w:val="0"/>
          <w:numId w:val="2"/>
        </w:numPr>
        <w:tabs>
          <w:tab w:val="left" w:pos="-284"/>
          <w:tab w:val="left" w:pos="426"/>
        </w:tabs>
        <w:spacing w:after="0"/>
        <w:ind w:left="284" w:hanging="284"/>
        <w:rPr>
          <w:color w:val="043CDA"/>
          <w:sz w:val="24"/>
          <w:szCs w:val="24"/>
        </w:rPr>
      </w:pPr>
      <w:r>
        <w:rPr>
          <w:color w:val="043CDA"/>
          <w:sz w:val="24"/>
          <w:szCs w:val="24"/>
        </w:rPr>
        <w:t>…</w:t>
      </w:r>
    </w:p>
    <w:p w:rsidR="00840A9D" w:rsidRDefault="00840A9D" w:rsidP="00840A9D">
      <w:pPr>
        <w:tabs>
          <w:tab w:val="left" w:pos="-284"/>
          <w:tab w:val="left" w:pos="142"/>
        </w:tabs>
        <w:spacing w:after="0"/>
        <w:rPr>
          <w:b/>
          <w:color w:val="043CDA"/>
        </w:rPr>
      </w:pPr>
    </w:p>
    <w:p w:rsidR="00840A9D" w:rsidRPr="00840A9D" w:rsidRDefault="00840A9D" w:rsidP="00840A9D">
      <w:pPr>
        <w:tabs>
          <w:tab w:val="left" w:pos="-284"/>
          <w:tab w:val="left" w:pos="142"/>
        </w:tabs>
        <w:spacing w:after="0"/>
        <w:rPr>
          <w:b/>
          <w:color w:val="043CDA"/>
          <w:sz w:val="24"/>
          <w:szCs w:val="24"/>
        </w:rPr>
      </w:pPr>
      <w:r w:rsidRPr="00840A9D">
        <w:rPr>
          <w:b/>
          <w:color w:val="043CDA"/>
          <w:sz w:val="24"/>
          <w:szCs w:val="24"/>
        </w:rPr>
        <w:t xml:space="preserve">N.B. :  </w:t>
      </w:r>
    </w:p>
    <w:p w:rsidR="00840A9D" w:rsidRPr="00840A9D" w:rsidRDefault="00840A9D" w:rsidP="00840A9D">
      <w:pPr>
        <w:tabs>
          <w:tab w:val="left" w:pos="-284"/>
          <w:tab w:val="left" w:pos="142"/>
        </w:tabs>
        <w:spacing w:after="0"/>
        <w:rPr>
          <w:b/>
          <w:color w:val="043CDA"/>
          <w:sz w:val="24"/>
          <w:szCs w:val="24"/>
        </w:rPr>
      </w:pPr>
      <w:r w:rsidRPr="00840A9D">
        <w:rPr>
          <w:b/>
          <w:color w:val="043CDA"/>
          <w:sz w:val="24"/>
          <w:szCs w:val="24"/>
        </w:rPr>
        <w:t>Ce programme est donné à titre purement indicatif. Au cours de la formation, il est adapté à l’évolution, au vécu, aux questions et aux besoins des participant(e)s</w:t>
      </w:r>
      <w:r w:rsidR="00920D64">
        <w:rPr>
          <w:b/>
          <w:color w:val="043CDA"/>
          <w:sz w:val="24"/>
          <w:szCs w:val="24"/>
        </w:rPr>
        <w:t> : i</w:t>
      </w:r>
      <w:r w:rsidRPr="00840A9D">
        <w:rPr>
          <w:b/>
          <w:color w:val="043CDA"/>
          <w:sz w:val="24"/>
          <w:szCs w:val="24"/>
        </w:rPr>
        <w:t>l est donc sujet à modifications.</w:t>
      </w:r>
    </w:p>
    <w:sectPr w:rsidR="00840A9D" w:rsidRPr="00840A9D" w:rsidSect="0081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C74"/>
    <w:multiLevelType w:val="hybridMultilevel"/>
    <w:tmpl w:val="C1CAF890"/>
    <w:lvl w:ilvl="0" w:tplc="886655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06F3"/>
    <w:multiLevelType w:val="hybridMultilevel"/>
    <w:tmpl w:val="00E47868"/>
    <w:lvl w:ilvl="0" w:tplc="614E46DE">
      <w:start w:val="6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CD6"/>
    <w:rsid w:val="001613B3"/>
    <w:rsid w:val="004E2CD6"/>
    <w:rsid w:val="00812AA5"/>
    <w:rsid w:val="00840A9D"/>
    <w:rsid w:val="00920D64"/>
    <w:rsid w:val="00AB18FE"/>
    <w:rsid w:val="00E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4</cp:revision>
  <dcterms:created xsi:type="dcterms:W3CDTF">2017-07-11T12:10:00Z</dcterms:created>
  <dcterms:modified xsi:type="dcterms:W3CDTF">2017-07-11T12:14:00Z</dcterms:modified>
</cp:coreProperties>
</file>